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eastAsia="zh-CN"/>
        </w:rPr>
        <w:t>1</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eastAsia="zh-CN"/>
        </w:rPr>
        <w:t>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eastAsia="zh-CN"/>
        </w:rPr>
        <w:t>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4</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rPr>
          <w:rFonts w:hint="eastAsia"/>
          <w:lang w:eastAsia="zh-CN"/>
        </w:rPr>
        <w:t>14</w:t>
      </w:r>
      <w:r>
        <w:fldChar w:fldCharType="end"/>
      </w:r>
      <w:r>
        <w:fldChar w:fldCharType="end"/>
      </w:r>
    </w:p>
    <w:p>
      <w:pPr>
        <w:pStyle w:val="7"/>
        <w:tabs>
          <w:tab w:val="right" w:leader="dot" w:pos="14562"/>
        </w:tabs>
      </w:pPr>
      <w:r>
        <w:fldChar w:fldCharType="begin"/>
      </w:r>
      <w:r>
        <w:instrText xml:space="preserve"> HYPERLINK \l "_Toc_3_3_0000000012" </w:instrText>
      </w:r>
      <w:r>
        <w:fldChar w:fldCharType="separate"/>
      </w:r>
      <w:r>
        <w:t>三、</w:t>
      </w:r>
      <w:r>
        <w:rPr>
          <w:rFonts w:hint="eastAsia"/>
          <w:lang w:eastAsia="zh-CN"/>
        </w:rPr>
        <w:t>单位</w:t>
      </w:r>
      <w:r>
        <w:t>运行经费安排情况</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21</w:t>
      </w:r>
      <w:r>
        <w:rPr>
          <w:rFonts w:hint="eastAsia"/>
          <w:lang w:eastAsia="zh-CN"/>
        </w:rP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val="en-US" w:eastAsia="zh-CN"/>
        </w:rPr>
        <w:t>4</w:t>
      </w:r>
      <w:r>
        <w:rPr>
          <w:rFonts w:hint="eastAsia"/>
          <w:lang w:eastAsia="zh-CN"/>
        </w:rP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val="en-US" w:eastAsia="zh-CN"/>
        </w:rPr>
        <w:t>5</w:t>
      </w:r>
      <w:r>
        <w:rPr>
          <w:rFonts w:hint="eastAsia"/>
          <w:lang w:eastAsia="zh-CN"/>
        </w:rP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rPr>
          <w:rFonts w:hint="eastAsia"/>
          <w:lang w:eastAsia="zh-CN"/>
        </w:rPr>
        <w:t>2</w:t>
      </w:r>
      <w:r>
        <w:rPr>
          <w:rFonts w:hint="eastAsia"/>
          <w:lang w:val="en-US" w:eastAsia="zh-CN"/>
        </w:rPr>
        <w:t>6</w:t>
      </w:r>
      <w:r>
        <w:fldChar w:fldCharType="end"/>
      </w:r>
      <w:r>
        <w:fldChar w:fldCharType="end"/>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四十五、霸州市康仙庄乡康仙庄中心小学收支预算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501530霸州市康仙庄乡康仙庄中心小学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1534.78</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1534.78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1534.78</w:t>
            </w:r>
          </w:p>
        </w:tc>
        <w:tc>
          <w:tcPr>
            <w:tcW w:w="4535" w:type="dxa"/>
            <w:vAlign w:val="center"/>
          </w:tcPr>
          <w:p>
            <w:pPr>
              <w:pStyle w:val="24"/>
            </w:pPr>
            <w:r>
              <w:t>本年支出合计</w:t>
            </w:r>
          </w:p>
        </w:tc>
        <w:tc>
          <w:tcPr>
            <w:tcW w:w="2126" w:type="dxa"/>
            <w:vAlign w:val="center"/>
          </w:tcPr>
          <w:p>
            <w:pPr>
              <w:pStyle w:val="25"/>
            </w:pPr>
            <w:r>
              <w:t>1534.78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1534.78</w:t>
            </w:r>
          </w:p>
        </w:tc>
        <w:tc>
          <w:tcPr>
            <w:tcW w:w="4535" w:type="dxa"/>
            <w:vAlign w:val="center"/>
          </w:tcPr>
          <w:p>
            <w:pPr>
              <w:pStyle w:val="24"/>
            </w:pPr>
            <w:r>
              <w:t>支出总计</w:t>
            </w:r>
          </w:p>
        </w:tc>
        <w:tc>
          <w:tcPr>
            <w:tcW w:w="2126" w:type="dxa"/>
            <w:vAlign w:val="center"/>
          </w:tcPr>
          <w:p>
            <w:pPr>
              <w:pStyle w:val="25"/>
            </w:pPr>
            <w:r>
              <w:t>1534.78</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501530霸州市康仙庄乡康仙庄中心小学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1534.78</w:t>
            </w:r>
          </w:p>
        </w:tc>
        <w:tc>
          <w:tcPr>
            <w:tcW w:w="1134" w:type="dxa"/>
            <w:vAlign w:val="center"/>
          </w:tcPr>
          <w:p>
            <w:pPr>
              <w:pStyle w:val="25"/>
            </w:pPr>
            <w:r>
              <w:t>1534.78</w:t>
            </w:r>
          </w:p>
        </w:tc>
        <w:tc>
          <w:tcPr>
            <w:tcW w:w="1134" w:type="dxa"/>
            <w:vAlign w:val="center"/>
          </w:tcPr>
          <w:p>
            <w:pPr>
              <w:pStyle w:val="25"/>
            </w:pPr>
            <w:r>
              <w:t>1534.78</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1534.78</w:t>
            </w:r>
          </w:p>
        </w:tc>
        <w:tc>
          <w:tcPr>
            <w:tcW w:w="1134" w:type="dxa"/>
            <w:vAlign w:val="center"/>
          </w:tcPr>
          <w:p>
            <w:pPr>
              <w:pStyle w:val="21"/>
            </w:pPr>
            <w:r>
              <w:t>1534.78</w:t>
            </w:r>
          </w:p>
        </w:tc>
        <w:tc>
          <w:tcPr>
            <w:tcW w:w="1134" w:type="dxa"/>
            <w:vAlign w:val="center"/>
          </w:tcPr>
          <w:p>
            <w:pPr>
              <w:pStyle w:val="21"/>
            </w:pPr>
            <w:r>
              <w:t>1534.78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1534.78</w:t>
            </w:r>
          </w:p>
        </w:tc>
        <w:tc>
          <w:tcPr>
            <w:tcW w:w="1134" w:type="dxa"/>
            <w:vAlign w:val="center"/>
          </w:tcPr>
          <w:p>
            <w:pPr>
              <w:pStyle w:val="21"/>
            </w:pPr>
            <w:r>
              <w:t>1534.78</w:t>
            </w:r>
          </w:p>
        </w:tc>
        <w:tc>
          <w:tcPr>
            <w:tcW w:w="1134" w:type="dxa"/>
            <w:vAlign w:val="center"/>
          </w:tcPr>
          <w:p>
            <w:pPr>
              <w:pStyle w:val="21"/>
            </w:pPr>
            <w:r>
              <w:t>1534.78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28.44</w:t>
            </w:r>
          </w:p>
        </w:tc>
        <w:tc>
          <w:tcPr>
            <w:tcW w:w="1134" w:type="dxa"/>
            <w:vAlign w:val="center"/>
          </w:tcPr>
          <w:p>
            <w:pPr>
              <w:pStyle w:val="21"/>
            </w:pPr>
            <w:r>
              <w:t>28.44</w:t>
            </w:r>
          </w:p>
        </w:tc>
        <w:tc>
          <w:tcPr>
            <w:tcW w:w="1134" w:type="dxa"/>
            <w:vAlign w:val="center"/>
          </w:tcPr>
          <w:p>
            <w:pPr>
              <w:pStyle w:val="21"/>
            </w:pPr>
            <w:r>
              <w:t>28.44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1506.34</w:t>
            </w:r>
          </w:p>
        </w:tc>
        <w:tc>
          <w:tcPr>
            <w:tcW w:w="1134" w:type="dxa"/>
            <w:vAlign w:val="center"/>
          </w:tcPr>
          <w:p>
            <w:pPr>
              <w:pStyle w:val="21"/>
            </w:pPr>
            <w:r>
              <w:t>1506.34</w:t>
            </w:r>
          </w:p>
        </w:tc>
        <w:tc>
          <w:tcPr>
            <w:tcW w:w="1134" w:type="dxa"/>
            <w:vAlign w:val="center"/>
          </w:tcPr>
          <w:p>
            <w:pPr>
              <w:pStyle w:val="21"/>
            </w:pPr>
            <w:r>
              <w:t>1506.34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501530霸州市康仙庄乡康仙庄中心小学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1534.78</w:t>
            </w:r>
          </w:p>
        </w:tc>
        <w:tc>
          <w:tcPr>
            <w:tcW w:w="1361" w:type="dxa"/>
            <w:vAlign w:val="center"/>
          </w:tcPr>
          <w:p>
            <w:pPr>
              <w:pStyle w:val="25"/>
            </w:pPr>
            <w:r>
              <w:t>1411.77</w:t>
            </w:r>
          </w:p>
        </w:tc>
        <w:tc>
          <w:tcPr>
            <w:tcW w:w="1361" w:type="dxa"/>
            <w:vAlign w:val="center"/>
          </w:tcPr>
          <w:p>
            <w:pPr>
              <w:pStyle w:val="25"/>
            </w:pPr>
            <w:r>
              <w:t>123.01</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1534.78</w:t>
            </w:r>
          </w:p>
        </w:tc>
        <w:tc>
          <w:tcPr>
            <w:tcW w:w="1361" w:type="dxa"/>
            <w:vAlign w:val="center"/>
          </w:tcPr>
          <w:p>
            <w:pPr>
              <w:pStyle w:val="21"/>
            </w:pPr>
            <w:r>
              <w:t>1411.77</w:t>
            </w:r>
          </w:p>
        </w:tc>
        <w:tc>
          <w:tcPr>
            <w:tcW w:w="1361" w:type="dxa"/>
            <w:vAlign w:val="center"/>
          </w:tcPr>
          <w:p>
            <w:pPr>
              <w:pStyle w:val="21"/>
            </w:pPr>
            <w:r>
              <w:t>123.01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1534.78</w:t>
            </w:r>
          </w:p>
        </w:tc>
        <w:tc>
          <w:tcPr>
            <w:tcW w:w="1361" w:type="dxa"/>
            <w:vAlign w:val="center"/>
          </w:tcPr>
          <w:p>
            <w:pPr>
              <w:pStyle w:val="21"/>
            </w:pPr>
            <w:r>
              <w:t>1411.77</w:t>
            </w:r>
          </w:p>
        </w:tc>
        <w:tc>
          <w:tcPr>
            <w:tcW w:w="1361" w:type="dxa"/>
            <w:vAlign w:val="center"/>
          </w:tcPr>
          <w:p>
            <w:pPr>
              <w:pStyle w:val="21"/>
            </w:pPr>
            <w:r>
              <w:t>123.01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28.44</w:t>
            </w:r>
          </w:p>
        </w:tc>
        <w:tc>
          <w:tcPr>
            <w:tcW w:w="1361" w:type="dxa"/>
            <w:vAlign w:val="center"/>
          </w:tcPr>
          <w:p>
            <w:pPr>
              <w:pStyle w:val="21"/>
            </w:pPr>
            <w:r>
              <w:t>5.84</w:t>
            </w:r>
          </w:p>
        </w:tc>
        <w:tc>
          <w:tcPr>
            <w:tcW w:w="1361" w:type="dxa"/>
            <w:vAlign w:val="center"/>
          </w:tcPr>
          <w:p>
            <w:pPr>
              <w:pStyle w:val="21"/>
            </w:pPr>
            <w:r>
              <w:t>22.60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1506.34</w:t>
            </w:r>
          </w:p>
        </w:tc>
        <w:tc>
          <w:tcPr>
            <w:tcW w:w="1361" w:type="dxa"/>
            <w:vAlign w:val="center"/>
          </w:tcPr>
          <w:p>
            <w:pPr>
              <w:pStyle w:val="21"/>
            </w:pPr>
            <w:r>
              <w:t>1405.93</w:t>
            </w:r>
          </w:p>
        </w:tc>
        <w:tc>
          <w:tcPr>
            <w:tcW w:w="1361" w:type="dxa"/>
            <w:vAlign w:val="center"/>
          </w:tcPr>
          <w:p>
            <w:pPr>
              <w:pStyle w:val="21"/>
            </w:pPr>
            <w:r>
              <w:t>100.41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501530霸州市康仙庄乡康仙庄中心小学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1534.78</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1534.78</w:t>
            </w:r>
          </w:p>
        </w:tc>
        <w:tc>
          <w:tcPr>
            <w:tcW w:w="1474" w:type="dxa"/>
            <w:vAlign w:val="center"/>
          </w:tcPr>
          <w:p>
            <w:pPr>
              <w:pStyle w:val="21"/>
            </w:pPr>
            <w:r>
              <w:t>1534.78</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1534.78</w:t>
            </w:r>
          </w:p>
        </w:tc>
        <w:tc>
          <w:tcPr>
            <w:tcW w:w="3402" w:type="dxa"/>
            <w:vAlign w:val="center"/>
          </w:tcPr>
          <w:p>
            <w:pPr>
              <w:pStyle w:val="24"/>
            </w:pPr>
            <w:r>
              <w:t>本年支出合计</w:t>
            </w:r>
          </w:p>
        </w:tc>
        <w:tc>
          <w:tcPr>
            <w:tcW w:w="1474" w:type="dxa"/>
            <w:vAlign w:val="center"/>
          </w:tcPr>
          <w:p>
            <w:pPr>
              <w:pStyle w:val="25"/>
            </w:pPr>
            <w:r>
              <w:t>1534.78</w:t>
            </w:r>
          </w:p>
        </w:tc>
        <w:tc>
          <w:tcPr>
            <w:tcW w:w="1474" w:type="dxa"/>
            <w:vAlign w:val="center"/>
          </w:tcPr>
          <w:p>
            <w:pPr>
              <w:pStyle w:val="25"/>
            </w:pPr>
            <w:r>
              <w:t>1534.78</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1534.78</w:t>
            </w:r>
          </w:p>
        </w:tc>
        <w:tc>
          <w:tcPr>
            <w:tcW w:w="3402" w:type="dxa"/>
            <w:vAlign w:val="center"/>
          </w:tcPr>
          <w:p>
            <w:pPr>
              <w:pStyle w:val="24"/>
            </w:pPr>
            <w:r>
              <w:t>支出总计</w:t>
            </w:r>
          </w:p>
        </w:tc>
        <w:tc>
          <w:tcPr>
            <w:tcW w:w="1474" w:type="dxa"/>
            <w:vAlign w:val="center"/>
          </w:tcPr>
          <w:p>
            <w:pPr>
              <w:pStyle w:val="25"/>
            </w:pPr>
            <w:r>
              <w:t>1534.78</w:t>
            </w:r>
          </w:p>
        </w:tc>
        <w:tc>
          <w:tcPr>
            <w:tcW w:w="1474" w:type="dxa"/>
            <w:vAlign w:val="center"/>
          </w:tcPr>
          <w:p>
            <w:pPr>
              <w:pStyle w:val="25"/>
            </w:pPr>
            <w:r>
              <w:t>1534.78</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501530霸州市康仙庄乡康仙庄中心小学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1534.78</w:t>
            </w:r>
          </w:p>
        </w:tc>
        <w:tc>
          <w:tcPr>
            <w:tcW w:w="2551" w:type="dxa"/>
            <w:vAlign w:val="center"/>
          </w:tcPr>
          <w:p>
            <w:pPr>
              <w:pStyle w:val="25"/>
            </w:pPr>
            <w:r>
              <w:t>1411.77</w:t>
            </w:r>
          </w:p>
        </w:tc>
        <w:tc>
          <w:tcPr>
            <w:tcW w:w="2551" w:type="dxa"/>
            <w:vAlign w:val="center"/>
          </w:tcPr>
          <w:p>
            <w:pPr>
              <w:pStyle w:val="25"/>
            </w:pPr>
            <w:r>
              <w:t>123.01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1534.78</w:t>
            </w:r>
          </w:p>
        </w:tc>
        <w:tc>
          <w:tcPr>
            <w:tcW w:w="2551" w:type="dxa"/>
            <w:vAlign w:val="center"/>
          </w:tcPr>
          <w:p>
            <w:pPr>
              <w:pStyle w:val="21"/>
            </w:pPr>
            <w:r>
              <w:t>1411.77</w:t>
            </w:r>
          </w:p>
        </w:tc>
        <w:tc>
          <w:tcPr>
            <w:tcW w:w="2551" w:type="dxa"/>
            <w:vAlign w:val="center"/>
          </w:tcPr>
          <w:p>
            <w:pPr>
              <w:pStyle w:val="21"/>
            </w:pPr>
            <w:r>
              <w:t>123.01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1534.78</w:t>
            </w:r>
          </w:p>
        </w:tc>
        <w:tc>
          <w:tcPr>
            <w:tcW w:w="2551" w:type="dxa"/>
            <w:vAlign w:val="center"/>
          </w:tcPr>
          <w:p>
            <w:pPr>
              <w:pStyle w:val="21"/>
            </w:pPr>
            <w:r>
              <w:t>1411.77</w:t>
            </w:r>
          </w:p>
        </w:tc>
        <w:tc>
          <w:tcPr>
            <w:tcW w:w="2551" w:type="dxa"/>
            <w:vAlign w:val="center"/>
          </w:tcPr>
          <w:p>
            <w:pPr>
              <w:pStyle w:val="21"/>
            </w:pPr>
            <w:r>
              <w:t>123.01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28.44</w:t>
            </w:r>
          </w:p>
        </w:tc>
        <w:tc>
          <w:tcPr>
            <w:tcW w:w="2551" w:type="dxa"/>
            <w:vAlign w:val="center"/>
          </w:tcPr>
          <w:p>
            <w:pPr>
              <w:pStyle w:val="21"/>
            </w:pPr>
            <w:r>
              <w:t>5.84</w:t>
            </w:r>
          </w:p>
        </w:tc>
        <w:tc>
          <w:tcPr>
            <w:tcW w:w="2551" w:type="dxa"/>
            <w:vAlign w:val="center"/>
          </w:tcPr>
          <w:p>
            <w:pPr>
              <w:pStyle w:val="21"/>
            </w:pPr>
            <w:r>
              <w:t>22.60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1506.34</w:t>
            </w:r>
          </w:p>
        </w:tc>
        <w:tc>
          <w:tcPr>
            <w:tcW w:w="2551" w:type="dxa"/>
            <w:vAlign w:val="center"/>
          </w:tcPr>
          <w:p>
            <w:pPr>
              <w:pStyle w:val="21"/>
            </w:pPr>
            <w:r>
              <w:t>1405.93</w:t>
            </w:r>
          </w:p>
        </w:tc>
        <w:tc>
          <w:tcPr>
            <w:tcW w:w="2551" w:type="dxa"/>
            <w:vAlign w:val="center"/>
          </w:tcPr>
          <w:p>
            <w:pPr>
              <w:pStyle w:val="21"/>
            </w:pPr>
            <w:r>
              <w:t>100.41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501530霸州市康仙庄乡康仙庄中心小学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1411.77</w:t>
            </w:r>
          </w:p>
        </w:tc>
        <w:tc>
          <w:tcPr>
            <w:tcW w:w="2551" w:type="dxa"/>
            <w:vAlign w:val="center"/>
          </w:tcPr>
          <w:p>
            <w:pPr>
              <w:pStyle w:val="25"/>
            </w:pPr>
            <w:r>
              <w:t>1385.66</w:t>
            </w:r>
          </w:p>
        </w:tc>
        <w:tc>
          <w:tcPr>
            <w:tcW w:w="2551" w:type="dxa"/>
            <w:vAlign w:val="center"/>
          </w:tcPr>
          <w:p>
            <w:pPr>
              <w:pStyle w:val="25"/>
            </w:pPr>
            <w:r>
              <w:t>26.11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1173.84</w:t>
            </w:r>
          </w:p>
        </w:tc>
        <w:tc>
          <w:tcPr>
            <w:tcW w:w="2551" w:type="dxa"/>
            <w:vAlign w:val="center"/>
          </w:tcPr>
          <w:p>
            <w:pPr>
              <w:pStyle w:val="21"/>
            </w:pPr>
            <w:r>
              <w:t>1173.84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360.12</w:t>
            </w:r>
          </w:p>
        </w:tc>
        <w:tc>
          <w:tcPr>
            <w:tcW w:w="2551" w:type="dxa"/>
            <w:vAlign w:val="center"/>
          </w:tcPr>
          <w:p>
            <w:pPr>
              <w:pStyle w:val="21"/>
            </w:pPr>
            <w:r>
              <w:t>360.12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81.34</w:t>
            </w:r>
          </w:p>
        </w:tc>
        <w:tc>
          <w:tcPr>
            <w:tcW w:w="2551" w:type="dxa"/>
            <w:vAlign w:val="center"/>
          </w:tcPr>
          <w:p>
            <w:pPr>
              <w:pStyle w:val="21"/>
            </w:pPr>
            <w:r>
              <w:t>81.34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455.25</w:t>
            </w:r>
          </w:p>
        </w:tc>
        <w:tc>
          <w:tcPr>
            <w:tcW w:w="2551" w:type="dxa"/>
            <w:vAlign w:val="center"/>
          </w:tcPr>
          <w:p>
            <w:pPr>
              <w:pStyle w:val="21"/>
            </w:pPr>
            <w:r>
              <w:t>455.25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111.77</w:t>
            </w:r>
          </w:p>
        </w:tc>
        <w:tc>
          <w:tcPr>
            <w:tcW w:w="2551" w:type="dxa"/>
            <w:vAlign w:val="center"/>
          </w:tcPr>
          <w:p>
            <w:pPr>
              <w:pStyle w:val="21"/>
            </w:pPr>
            <w:r>
              <w:t>111.77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19.35</w:t>
            </w:r>
          </w:p>
        </w:tc>
        <w:tc>
          <w:tcPr>
            <w:tcW w:w="2551" w:type="dxa"/>
            <w:vAlign w:val="center"/>
          </w:tcPr>
          <w:p>
            <w:pPr>
              <w:pStyle w:val="21"/>
            </w:pPr>
            <w:r>
              <w:t>19.35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32.20</w:t>
            </w:r>
          </w:p>
        </w:tc>
        <w:tc>
          <w:tcPr>
            <w:tcW w:w="2551" w:type="dxa"/>
            <w:vAlign w:val="center"/>
          </w:tcPr>
          <w:p>
            <w:pPr>
              <w:pStyle w:val="21"/>
            </w:pPr>
            <w:r>
              <w:t>32.20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8.04</w:t>
            </w:r>
          </w:p>
        </w:tc>
        <w:tc>
          <w:tcPr>
            <w:tcW w:w="2551" w:type="dxa"/>
            <w:vAlign w:val="center"/>
          </w:tcPr>
          <w:p>
            <w:pPr>
              <w:pStyle w:val="21"/>
            </w:pPr>
            <w:r>
              <w:t>8.04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91.05</w:t>
            </w:r>
          </w:p>
        </w:tc>
        <w:tc>
          <w:tcPr>
            <w:tcW w:w="2551" w:type="dxa"/>
            <w:vAlign w:val="center"/>
          </w:tcPr>
          <w:p>
            <w:pPr>
              <w:pStyle w:val="21"/>
            </w:pPr>
            <w:r>
              <w:t>91.05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14.72</w:t>
            </w:r>
          </w:p>
        </w:tc>
        <w:tc>
          <w:tcPr>
            <w:tcW w:w="2551" w:type="dxa"/>
            <w:vAlign w:val="center"/>
          </w:tcPr>
          <w:p>
            <w:pPr>
              <w:pStyle w:val="21"/>
            </w:pPr>
            <w:r>
              <w:t>14.72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26.11</w:t>
            </w:r>
          </w:p>
        </w:tc>
        <w:tc>
          <w:tcPr>
            <w:tcW w:w="2551" w:type="dxa"/>
            <w:vAlign w:val="center"/>
          </w:tcPr>
          <w:p>
            <w:pPr>
              <w:pStyle w:val="21"/>
            </w:pPr>
          </w:p>
        </w:tc>
        <w:tc>
          <w:tcPr>
            <w:tcW w:w="2551" w:type="dxa"/>
            <w:vAlign w:val="center"/>
          </w:tcPr>
          <w:p>
            <w:pPr>
              <w:pStyle w:val="21"/>
            </w:pPr>
            <w:r>
              <w:t>26.11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5.84</w:t>
            </w:r>
          </w:p>
        </w:tc>
        <w:tc>
          <w:tcPr>
            <w:tcW w:w="2551" w:type="dxa"/>
            <w:vAlign w:val="center"/>
          </w:tcPr>
          <w:p>
            <w:pPr>
              <w:pStyle w:val="21"/>
            </w:pPr>
          </w:p>
        </w:tc>
        <w:tc>
          <w:tcPr>
            <w:tcW w:w="2551" w:type="dxa"/>
            <w:vAlign w:val="center"/>
          </w:tcPr>
          <w:p>
            <w:pPr>
              <w:pStyle w:val="21"/>
            </w:pPr>
            <w:r>
              <w:t>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11.61</w:t>
            </w:r>
          </w:p>
        </w:tc>
        <w:tc>
          <w:tcPr>
            <w:tcW w:w="2551" w:type="dxa"/>
            <w:vAlign w:val="center"/>
          </w:tcPr>
          <w:p>
            <w:pPr>
              <w:pStyle w:val="21"/>
            </w:pPr>
          </w:p>
        </w:tc>
        <w:tc>
          <w:tcPr>
            <w:tcW w:w="2551" w:type="dxa"/>
            <w:vAlign w:val="center"/>
          </w:tcPr>
          <w:p>
            <w:pPr>
              <w:pStyle w:val="21"/>
            </w:pPr>
            <w:r>
              <w:t>11.61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8.66</w:t>
            </w:r>
          </w:p>
        </w:tc>
        <w:tc>
          <w:tcPr>
            <w:tcW w:w="2551" w:type="dxa"/>
            <w:vAlign w:val="center"/>
          </w:tcPr>
          <w:p>
            <w:pPr>
              <w:pStyle w:val="21"/>
            </w:pPr>
          </w:p>
        </w:tc>
        <w:tc>
          <w:tcPr>
            <w:tcW w:w="2551" w:type="dxa"/>
            <w:vAlign w:val="center"/>
          </w:tcPr>
          <w:p>
            <w:pPr>
              <w:pStyle w:val="21"/>
            </w:pPr>
            <w:r>
              <w:t>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211.82</w:t>
            </w:r>
          </w:p>
        </w:tc>
        <w:tc>
          <w:tcPr>
            <w:tcW w:w="2551" w:type="dxa"/>
            <w:vAlign w:val="center"/>
          </w:tcPr>
          <w:p>
            <w:pPr>
              <w:pStyle w:val="21"/>
            </w:pPr>
            <w:r>
              <w:t>211.82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136.67</w:t>
            </w:r>
          </w:p>
        </w:tc>
        <w:tc>
          <w:tcPr>
            <w:tcW w:w="2551" w:type="dxa"/>
            <w:vAlign w:val="center"/>
          </w:tcPr>
          <w:p>
            <w:pPr>
              <w:pStyle w:val="21"/>
            </w:pPr>
            <w:r>
              <w:t>136.67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75.08</w:t>
            </w:r>
          </w:p>
        </w:tc>
        <w:tc>
          <w:tcPr>
            <w:tcW w:w="2551" w:type="dxa"/>
            <w:vAlign w:val="center"/>
          </w:tcPr>
          <w:p>
            <w:pPr>
              <w:pStyle w:val="21"/>
            </w:pPr>
            <w:r>
              <w:t>75.08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0.07</w:t>
            </w:r>
          </w:p>
        </w:tc>
        <w:tc>
          <w:tcPr>
            <w:tcW w:w="2551" w:type="dxa"/>
            <w:vAlign w:val="center"/>
          </w:tcPr>
          <w:p>
            <w:pPr>
              <w:pStyle w:val="21"/>
            </w:pPr>
            <w:r>
              <w:t>0.07</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501530霸州市康仙庄乡康仙庄中心小学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501530霸州市康仙庄乡康仙庄中心小学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501530霸州市康仙庄乡康仙庄中心小学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霸州市康仙庄乡康仙庄中心小学2023年单位预算信息公开情况说明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按照《预算法》、《地方预决算公开操作规程》和《关于进一步推进预算公开工作的实施意见》规定，现将霸州市康仙庄乡康仙庄中心小学2023年单位预算公开如下：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560" w:firstLineChars="200"/>
        <w:rPr>
          <w:rFonts w:eastAsiaTheme="minorEastAsia"/>
          <w:color w:val="000000"/>
          <w:sz w:val="28"/>
          <w:lang w:val="uk-UA" w:eastAsia="zh-CN"/>
        </w:rPr>
      </w:pPr>
      <w:r>
        <w:rPr>
          <w:rFonts w:hint="eastAsia" w:eastAsia="方正仿宋_GBK"/>
          <w:color w:val="000000"/>
          <w:sz w:val="28"/>
        </w:rPr>
        <w:t>霸州市康仙庄乡康仙庄中心小学是康仙庄一所农村小学。其职责为:实施小学义务教育，促进基础教育发展。小学学历教育。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霸州市康仙庄乡康仙庄中心小学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1534.78</w:t>
      </w:r>
      <w:r>
        <w:rPr>
          <w:rFonts w:hint="eastAsia" w:ascii="方正仿宋_GBK"/>
        </w:rPr>
        <w:t>万元，其中：一般公共预算收入</w:t>
      </w:r>
      <w:r>
        <w:rPr>
          <w:rFonts w:ascii="方正仿宋_GBK"/>
        </w:rPr>
        <w:t>1534.78</w:t>
      </w:r>
      <w:r>
        <w:rPr>
          <w:rFonts w:hint="eastAsia" w:ascii="方正仿宋_GBK"/>
        </w:rPr>
        <w:t>万元，基金预算收入</w:t>
      </w:r>
      <w:r>
        <w:rPr>
          <w:rFonts w:ascii="方正仿宋_GBK"/>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color w:val="000000"/>
        </w:rPr>
        <w:t>康仙庄乡康仙庄中心小学</w:t>
      </w:r>
      <w:r>
        <w:rPr>
          <w:rFonts w:hint="eastAsia" w:ascii="方正仿宋_GBK"/>
        </w:rPr>
        <w:t>2023年度单位预算中支出预算的总体情况。2023年支出预算</w:t>
      </w:r>
      <w:r>
        <w:rPr>
          <w:rFonts w:hint="eastAsia" w:ascii="方正仿宋_GBK" w:eastAsiaTheme="minorEastAsia"/>
          <w:lang w:eastAsia="zh-CN"/>
        </w:rPr>
        <w:t>1534.78</w:t>
      </w:r>
      <w:r>
        <w:rPr>
          <w:rFonts w:hint="eastAsia" w:ascii="方正仿宋_GBK"/>
        </w:rPr>
        <w:t>万元，其中：基本支出</w:t>
      </w:r>
      <w:r>
        <w:rPr>
          <w:rFonts w:hint="eastAsia" w:ascii="方正仿宋_GBK" w:eastAsiaTheme="minorEastAsia"/>
          <w:lang w:eastAsia="zh-CN"/>
        </w:rPr>
        <w:t>1411.77</w:t>
      </w:r>
      <w:r>
        <w:rPr>
          <w:rFonts w:hint="eastAsia" w:ascii="方正仿宋_GBK"/>
        </w:rPr>
        <w:t>万元，包括人员经费</w:t>
      </w:r>
      <w:r>
        <w:rPr>
          <w:rFonts w:hint="eastAsia" w:ascii="方正仿宋_GBK" w:eastAsiaTheme="minorEastAsia"/>
          <w:lang w:eastAsia="zh-CN"/>
        </w:rPr>
        <w:t>1385.66</w:t>
      </w:r>
      <w:r>
        <w:rPr>
          <w:rFonts w:hint="eastAsia" w:ascii="方正仿宋_GBK"/>
        </w:rPr>
        <w:t>万元和日常公用经费</w:t>
      </w:r>
      <w:r>
        <w:rPr>
          <w:rFonts w:hint="eastAsia" w:ascii="方正仿宋_GBK" w:eastAsiaTheme="minorEastAsia"/>
          <w:lang w:eastAsia="zh-CN"/>
        </w:rPr>
        <w:t>26.11</w:t>
      </w:r>
      <w:r>
        <w:rPr>
          <w:rFonts w:hint="eastAsia" w:ascii="方正仿宋_GBK"/>
        </w:rPr>
        <w:t>万元；项目支出</w:t>
      </w:r>
      <w:r>
        <w:rPr>
          <w:rFonts w:hint="eastAsia" w:ascii="方正仿宋_GBK" w:eastAsiaTheme="minorEastAsia"/>
          <w:lang w:eastAsia="zh-CN"/>
        </w:rPr>
        <w:t>123.01</w:t>
      </w:r>
      <w:r>
        <w:rPr>
          <w:rFonts w:hint="eastAsia" w:ascii="方正仿宋_GBK"/>
        </w:rPr>
        <w:t>万元，主要为：办公费、维修费、物业管理费、取暖费、培训费、幼儿保育费等。</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ascii="方正仿宋_GBK"/>
        </w:rPr>
        <w:t>1534.78</w:t>
      </w:r>
      <w:r>
        <w:rPr>
          <w:rFonts w:hint="eastAsia" w:ascii="方正仿宋_GBK"/>
        </w:rPr>
        <w:t>万元，较2022年预算增加</w:t>
      </w:r>
      <w:r>
        <w:rPr>
          <w:rFonts w:hint="eastAsia" w:ascii="方正仿宋_GBK" w:eastAsiaTheme="minorEastAsia"/>
          <w:lang w:eastAsia="zh-CN"/>
        </w:rPr>
        <w:t>177.89</w:t>
      </w:r>
      <w:r>
        <w:rPr>
          <w:rFonts w:hint="eastAsia" w:ascii="方正仿宋_GBK"/>
        </w:rPr>
        <w:t>万元，其中：基本支出增加</w:t>
      </w:r>
      <w:r>
        <w:rPr>
          <w:rFonts w:hint="eastAsia" w:ascii="方正仿宋_GBK" w:eastAsiaTheme="minorEastAsia"/>
          <w:lang w:eastAsia="zh-CN"/>
        </w:rPr>
        <w:t>181.77</w:t>
      </w:r>
      <w:r>
        <w:rPr>
          <w:rFonts w:hint="eastAsia" w:ascii="方正仿宋_GBK"/>
        </w:rPr>
        <w:t>万元，主要为增加人员经费支出；项目支出减少</w:t>
      </w:r>
      <w:r>
        <w:rPr>
          <w:rFonts w:hint="eastAsia" w:ascii="方正仿宋_GBK" w:eastAsiaTheme="minorEastAsia"/>
          <w:lang w:eastAsia="zh-CN"/>
        </w:rPr>
        <w:t>3.88</w:t>
      </w:r>
      <w:r>
        <w:rPr>
          <w:rFonts w:hint="eastAsia" w:ascii="方正仿宋_GBK"/>
        </w:rPr>
        <w:t>万元，主要为减少办公费、幼儿员保育费项目支出。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eastAsiaTheme="minorEastAsia"/>
          <w:lang w:eastAsia="zh-CN"/>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eastAsiaTheme="minorEastAsia"/>
          <w:lang w:eastAsia="zh-CN"/>
        </w:rPr>
        <w:t>26.11</w:t>
      </w:r>
      <w:r>
        <w:rPr>
          <w:rFonts w:hint="eastAsia" w:ascii="方正仿宋_GBK"/>
        </w:rPr>
        <w:t>万元，主要用于办公费、工会经费、福利费等日常运行支出。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eastAsiaTheme="minorEastAsia"/>
          <w:lang w:eastAsia="zh-CN"/>
        </w:rPr>
        <w:t>0</w:t>
      </w:r>
      <w:r>
        <w:rPr>
          <w:rFonts w:hint="eastAsia" w:ascii="方正仿宋_GBK"/>
        </w:rPr>
        <w:t>万元。其中，因公出国（境）费</w:t>
      </w:r>
      <w:r>
        <w:rPr>
          <w:rFonts w:hint="eastAsia" w:ascii="方正仿宋_GBK" w:eastAsiaTheme="minorEastAsia"/>
          <w:lang w:eastAsia="zh-CN"/>
        </w:rPr>
        <w:t>0</w:t>
      </w:r>
      <w:r>
        <w:rPr>
          <w:rFonts w:hint="eastAsia" w:ascii="方正仿宋_GBK"/>
        </w:rPr>
        <w:t>万元；公务用车购置及运维费</w:t>
      </w:r>
      <w:r>
        <w:rPr>
          <w:rFonts w:hint="eastAsia" w:ascii="方正仿宋_GBK" w:eastAsiaTheme="minorEastAsia"/>
          <w:lang w:eastAsia="zh-CN"/>
        </w:rPr>
        <w:t>0</w:t>
      </w:r>
      <w:r>
        <w:rPr>
          <w:rFonts w:hint="eastAsia" w:ascii="方正仿宋_GBK"/>
        </w:rPr>
        <w:t>万元（其中：公务用车购置费为</w:t>
      </w:r>
      <w:r>
        <w:rPr>
          <w:rFonts w:hint="eastAsia" w:ascii="方正仿宋_GBK" w:eastAsiaTheme="minorEastAsia"/>
          <w:lang w:eastAsia="zh-CN"/>
        </w:rPr>
        <w:t>0</w:t>
      </w:r>
      <w:r>
        <w:rPr>
          <w:rFonts w:hint="eastAsia" w:ascii="方正仿宋_GBK"/>
        </w:rPr>
        <w:t>万元，公务用车运维费</w:t>
      </w:r>
      <w:r>
        <w:rPr>
          <w:rFonts w:hint="eastAsia" w:ascii="方正仿宋_GBK" w:eastAsiaTheme="minorEastAsia"/>
          <w:lang w:eastAsia="zh-CN"/>
        </w:rPr>
        <w:t>0</w:t>
      </w:r>
      <w:r>
        <w:rPr>
          <w:rFonts w:hint="eastAsia" w:ascii="方正仿宋_GBK"/>
        </w:rPr>
        <w:t>万元)；公务接待费</w:t>
      </w:r>
      <w:r>
        <w:rPr>
          <w:rFonts w:hint="eastAsia" w:ascii="方正仿宋_GBK" w:eastAsiaTheme="minorEastAsia"/>
          <w:lang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≥1267人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教学工作完成率</w:t>
            </w:r>
          </w:p>
        </w:tc>
        <w:tc>
          <w:tcPr>
            <w:tcW w:w="2835" w:type="dxa"/>
            <w:vAlign w:val="center"/>
          </w:tcPr>
          <w:p>
            <w:pPr>
              <w:pStyle w:val="22"/>
            </w:pPr>
            <w:r>
              <w:t>教学工作完成率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7.26万元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是否有效缓解学校师资力量紧张情况</w:t>
            </w:r>
          </w:p>
        </w:tc>
        <w:tc>
          <w:tcPr>
            <w:tcW w:w="2835" w:type="dxa"/>
            <w:vAlign w:val="center"/>
          </w:tcPr>
          <w:p>
            <w:pPr>
              <w:pStyle w:val="22"/>
            </w:pPr>
            <w:r>
              <w:t>是否有效缓解学校师资力量紧张情况</w:t>
            </w:r>
          </w:p>
        </w:tc>
        <w:tc>
          <w:tcPr>
            <w:tcW w:w="2551" w:type="dxa"/>
            <w:vAlign w:val="center"/>
          </w:tcPr>
          <w:p>
            <w:pPr>
              <w:pStyle w:val="22"/>
            </w:pPr>
            <w:r>
              <w:t>有效缓解</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≥1267人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tbl>
            <w:tblPr>
              <w:tblStyle w:val="10"/>
              <w:tblW w:w="17940" w:type="dxa"/>
              <w:tblInd w:w="0" w:type="dxa"/>
              <w:tblLayout w:type="fixed"/>
              <w:tblCellMar>
                <w:top w:w="0" w:type="dxa"/>
                <w:left w:w="108" w:type="dxa"/>
                <w:bottom w:w="0" w:type="dxa"/>
                <w:right w:w="108" w:type="dxa"/>
              </w:tblCellMar>
            </w:tblPr>
            <w:tblGrid>
              <w:gridCol w:w="17940"/>
            </w:tblGrid>
            <w:tr>
              <w:tblPrEx>
                <w:tblCellMar>
                  <w:top w:w="0" w:type="dxa"/>
                  <w:left w:w="108" w:type="dxa"/>
                  <w:bottom w:w="0" w:type="dxa"/>
                  <w:right w:w="108" w:type="dxa"/>
                </w:tblCellMar>
              </w:tblPrEx>
              <w:trPr>
                <w:trHeight w:val="330" w:hRule="atLeast"/>
              </w:trPr>
              <w:tc>
                <w:tcPr>
                  <w:tcW w:w="17940" w:type="dxa"/>
                  <w:tcBorders>
                    <w:top w:val="nil"/>
                    <w:left w:val="nil"/>
                    <w:bottom w:val="nil"/>
                    <w:right w:val="nil"/>
                  </w:tcBorders>
                  <w:shd w:val="clear" w:color="auto" w:fill="auto"/>
                  <w:noWrap/>
                </w:tcPr>
                <w:p>
                  <w:pP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w:t>
                  </w:r>
                  <w:r>
                    <w:rPr>
                      <w:rFonts w:ascii="Calibri" w:hAnsi="Calibri" w:eastAsia="宋体" w:cs="宋体"/>
                      <w:color w:val="000000"/>
                      <w:sz w:val="22"/>
                      <w:szCs w:val="22"/>
                      <w:lang w:eastAsia="zh-CN"/>
                    </w:rPr>
                    <w:t xml:space="preserve">资金用于保障义务教育学校正常运转。 </w:t>
                  </w:r>
                </w:p>
              </w:tc>
            </w:tr>
            <w:tr>
              <w:tblPrEx>
                <w:tblCellMar>
                  <w:top w:w="0" w:type="dxa"/>
                  <w:left w:w="108" w:type="dxa"/>
                  <w:bottom w:w="0" w:type="dxa"/>
                  <w:right w:w="108" w:type="dxa"/>
                </w:tblCellMar>
              </w:tblPrEx>
              <w:trPr>
                <w:trHeight w:val="330" w:hRule="atLeast"/>
              </w:trPr>
              <w:tc>
                <w:tcPr>
                  <w:tcW w:w="17940" w:type="dxa"/>
                  <w:tcBorders>
                    <w:top w:val="nil"/>
                    <w:left w:val="nil"/>
                    <w:bottom w:val="nil"/>
                    <w:right w:val="nil"/>
                  </w:tcBorders>
                  <w:shd w:val="clear" w:color="auto" w:fill="auto"/>
                  <w:noWrap/>
                </w:tcPr>
                <w:p>
                  <w:pP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w:t>
                  </w:r>
                  <w:r>
                    <w:rPr>
                      <w:rFonts w:ascii="Calibri" w:hAnsi="Calibri" w:eastAsia="宋体" w:cs="宋体"/>
                      <w:color w:val="000000"/>
                      <w:sz w:val="22"/>
                      <w:szCs w:val="22"/>
                      <w:lang w:eastAsia="zh-CN"/>
                    </w:rPr>
                    <w:t>完成教育教学活动和其他日常工作任务。</w:t>
                  </w:r>
                </w:p>
              </w:tc>
            </w:tr>
          </w:tbl>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≥1267人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≥146人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≤22.6万元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2023年，霸州市康仙庄乡康仙庄中心小学安排政府采购预算8.65万元。具体内容见下表。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501530霸州市康仙庄乡康仙庄中心小学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8.65</w:t>
            </w:r>
          </w:p>
        </w:tc>
        <w:tc>
          <w:tcPr>
            <w:tcW w:w="964" w:type="dxa"/>
            <w:vAlign w:val="center"/>
          </w:tcPr>
          <w:p>
            <w:pPr>
              <w:pStyle w:val="25"/>
            </w:pPr>
            <w:r>
              <w:t>8.65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霸州市康仙庄乡康仙庄中心小学小计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8.65</w:t>
            </w:r>
          </w:p>
        </w:tc>
        <w:tc>
          <w:tcPr>
            <w:tcW w:w="964" w:type="dxa"/>
            <w:vAlign w:val="center"/>
          </w:tcPr>
          <w:p>
            <w:pPr>
              <w:pStyle w:val="25"/>
            </w:pPr>
            <w:r>
              <w:t>8.65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27.50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5.52</w:t>
            </w:r>
          </w:p>
        </w:tc>
        <w:tc>
          <w:tcPr>
            <w:tcW w:w="964" w:type="dxa"/>
            <w:vAlign w:val="center"/>
          </w:tcPr>
          <w:p>
            <w:pPr>
              <w:pStyle w:val="21"/>
            </w:pPr>
            <w:r>
              <w:t>5.52</w:t>
            </w:r>
          </w:p>
        </w:tc>
        <w:tc>
          <w:tcPr>
            <w:tcW w:w="964" w:type="dxa"/>
            <w:vAlign w:val="center"/>
          </w:tcPr>
          <w:p>
            <w:pPr>
              <w:pStyle w:val="21"/>
            </w:pPr>
            <w:r>
              <w:t>5.52</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27.50</w:t>
            </w:r>
          </w:p>
        </w:tc>
        <w:tc>
          <w:tcPr>
            <w:tcW w:w="1134" w:type="dxa"/>
            <w:vAlign w:val="center"/>
          </w:tcPr>
          <w:p>
            <w:pPr>
              <w:pStyle w:val="22"/>
            </w:pPr>
            <w:r>
              <w:t>其他椅凳类</w:t>
            </w:r>
          </w:p>
        </w:tc>
        <w:tc>
          <w:tcPr>
            <w:tcW w:w="1134" w:type="dxa"/>
            <w:vAlign w:val="center"/>
          </w:tcPr>
          <w:p>
            <w:pPr>
              <w:pStyle w:val="22"/>
            </w:pPr>
            <w:r>
              <w:t>A05010399</w:t>
            </w:r>
          </w:p>
        </w:tc>
        <w:tc>
          <w:tcPr>
            <w:tcW w:w="709" w:type="dxa"/>
            <w:vAlign w:val="center"/>
          </w:tcPr>
          <w:p>
            <w:pPr>
              <w:pStyle w:val="23"/>
            </w:pPr>
            <w:r>
              <w:t>个</w:t>
            </w:r>
          </w:p>
        </w:tc>
        <w:tc>
          <w:tcPr>
            <w:tcW w:w="850" w:type="dxa"/>
            <w:vAlign w:val="center"/>
          </w:tcPr>
          <w:p>
            <w:pPr>
              <w:pStyle w:val="21"/>
            </w:pPr>
            <w:r>
              <w:t>50</w:t>
            </w:r>
          </w:p>
        </w:tc>
        <w:tc>
          <w:tcPr>
            <w:tcW w:w="850" w:type="dxa"/>
            <w:vAlign w:val="center"/>
          </w:tcPr>
          <w:p>
            <w:pPr>
              <w:pStyle w:val="21"/>
            </w:pPr>
            <w:r>
              <w:t>0.01</w:t>
            </w:r>
          </w:p>
        </w:tc>
        <w:tc>
          <w:tcPr>
            <w:tcW w:w="964" w:type="dxa"/>
            <w:vAlign w:val="center"/>
          </w:tcPr>
          <w:p>
            <w:pPr>
              <w:pStyle w:val="21"/>
            </w:pPr>
            <w:r>
              <w:t>0.25</w:t>
            </w:r>
          </w:p>
        </w:tc>
        <w:tc>
          <w:tcPr>
            <w:tcW w:w="964" w:type="dxa"/>
            <w:vAlign w:val="center"/>
          </w:tcPr>
          <w:p>
            <w:pPr>
              <w:pStyle w:val="21"/>
            </w:pPr>
            <w:r>
              <w:t>0.25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27.50</w:t>
            </w:r>
          </w:p>
        </w:tc>
        <w:tc>
          <w:tcPr>
            <w:tcW w:w="1134" w:type="dxa"/>
            <w:vAlign w:val="center"/>
          </w:tcPr>
          <w:p>
            <w:pPr>
              <w:pStyle w:val="22"/>
            </w:pPr>
            <w:r>
              <w:t>文件柜</w:t>
            </w:r>
          </w:p>
        </w:tc>
        <w:tc>
          <w:tcPr>
            <w:tcW w:w="1134" w:type="dxa"/>
            <w:vAlign w:val="center"/>
          </w:tcPr>
          <w:p>
            <w:pPr>
              <w:pStyle w:val="22"/>
            </w:pPr>
            <w:r>
              <w:t>A05010502</w:t>
            </w:r>
          </w:p>
        </w:tc>
        <w:tc>
          <w:tcPr>
            <w:tcW w:w="709" w:type="dxa"/>
            <w:vAlign w:val="center"/>
          </w:tcPr>
          <w:p>
            <w:pPr>
              <w:pStyle w:val="23"/>
            </w:pPr>
            <w:r>
              <w:t>个</w:t>
            </w:r>
          </w:p>
        </w:tc>
        <w:tc>
          <w:tcPr>
            <w:tcW w:w="850" w:type="dxa"/>
            <w:vAlign w:val="center"/>
          </w:tcPr>
          <w:p>
            <w:pPr>
              <w:pStyle w:val="21"/>
            </w:pPr>
            <w:r>
              <w:t>6</w:t>
            </w:r>
          </w:p>
        </w:tc>
        <w:tc>
          <w:tcPr>
            <w:tcW w:w="850" w:type="dxa"/>
            <w:vAlign w:val="center"/>
          </w:tcPr>
          <w:p>
            <w:pPr>
              <w:pStyle w:val="21"/>
            </w:pPr>
            <w:r>
              <w:t>0.09</w:t>
            </w:r>
          </w:p>
        </w:tc>
        <w:tc>
          <w:tcPr>
            <w:tcW w:w="964" w:type="dxa"/>
            <w:vAlign w:val="center"/>
          </w:tcPr>
          <w:p>
            <w:pPr>
              <w:pStyle w:val="21"/>
            </w:pPr>
            <w:r>
              <w:t>0.54</w:t>
            </w:r>
          </w:p>
        </w:tc>
        <w:tc>
          <w:tcPr>
            <w:tcW w:w="964" w:type="dxa"/>
            <w:vAlign w:val="center"/>
          </w:tcPr>
          <w:p>
            <w:pPr>
              <w:pStyle w:val="21"/>
            </w:pPr>
            <w:r>
              <w:t>0.54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27.50</w:t>
            </w:r>
          </w:p>
        </w:tc>
        <w:tc>
          <w:tcPr>
            <w:tcW w:w="1134" w:type="dxa"/>
            <w:vAlign w:val="center"/>
          </w:tcPr>
          <w:p>
            <w:pPr>
              <w:pStyle w:val="22"/>
            </w:pPr>
            <w:r>
              <w:t>其他家具</w:t>
            </w:r>
          </w:p>
        </w:tc>
        <w:tc>
          <w:tcPr>
            <w:tcW w:w="1134" w:type="dxa"/>
            <w:vAlign w:val="center"/>
          </w:tcPr>
          <w:p>
            <w:pPr>
              <w:pStyle w:val="22"/>
            </w:pPr>
            <w:r>
              <w:t>A05019900</w:t>
            </w:r>
          </w:p>
        </w:tc>
        <w:tc>
          <w:tcPr>
            <w:tcW w:w="709" w:type="dxa"/>
            <w:vAlign w:val="center"/>
          </w:tcPr>
          <w:p>
            <w:pPr>
              <w:pStyle w:val="23"/>
            </w:pPr>
            <w:r>
              <w:t>个</w:t>
            </w:r>
          </w:p>
        </w:tc>
        <w:tc>
          <w:tcPr>
            <w:tcW w:w="850" w:type="dxa"/>
            <w:vAlign w:val="center"/>
          </w:tcPr>
          <w:p>
            <w:pPr>
              <w:pStyle w:val="21"/>
            </w:pPr>
            <w:r>
              <w:t>10</w:t>
            </w:r>
          </w:p>
        </w:tc>
        <w:tc>
          <w:tcPr>
            <w:tcW w:w="850" w:type="dxa"/>
            <w:vAlign w:val="center"/>
          </w:tcPr>
          <w:p>
            <w:pPr>
              <w:pStyle w:val="21"/>
            </w:pPr>
            <w:r>
              <w:t>0.10</w:t>
            </w:r>
          </w:p>
        </w:tc>
        <w:tc>
          <w:tcPr>
            <w:tcW w:w="964" w:type="dxa"/>
            <w:vAlign w:val="center"/>
          </w:tcPr>
          <w:p>
            <w:pPr>
              <w:pStyle w:val="21"/>
            </w:pPr>
            <w:r>
              <w:t>1.00</w:t>
            </w:r>
          </w:p>
        </w:tc>
        <w:tc>
          <w:tcPr>
            <w:tcW w:w="964" w:type="dxa"/>
            <w:vAlign w:val="center"/>
          </w:tcPr>
          <w:p>
            <w:pPr>
              <w:pStyle w:val="21"/>
            </w:pPr>
            <w:r>
              <w:t>1.00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62.00</w:t>
            </w:r>
          </w:p>
        </w:tc>
        <w:tc>
          <w:tcPr>
            <w:tcW w:w="1134" w:type="dxa"/>
            <w:vAlign w:val="center"/>
          </w:tcPr>
          <w:p>
            <w:pPr>
              <w:pStyle w:val="22"/>
            </w:pPr>
            <w:r>
              <w:t>其他办公用品</w:t>
            </w:r>
          </w:p>
        </w:tc>
        <w:tc>
          <w:tcPr>
            <w:tcW w:w="1134" w:type="dxa"/>
            <w:vAlign w:val="center"/>
          </w:tcPr>
          <w:p>
            <w:pPr>
              <w:pStyle w:val="22"/>
            </w:pPr>
            <w:r>
              <w:t>A05049900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0.50</w:t>
            </w:r>
          </w:p>
        </w:tc>
        <w:tc>
          <w:tcPr>
            <w:tcW w:w="964" w:type="dxa"/>
            <w:vAlign w:val="center"/>
          </w:tcPr>
          <w:p>
            <w:pPr>
              <w:pStyle w:val="21"/>
            </w:pPr>
            <w:r>
              <w:t>0.50</w:t>
            </w:r>
          </w:p>
        </w:tc>
        <w:tc>
          <w:tcPr>
            <w:tcW w:w="964" w:type="dxa"/>
            <w:vAlign w:val="center"/>
          </w:tcPr>
          <w:p>
            <w:pPr>
              <w:pStyle w:val="21"/>
            </w:pPr>
            <w:r>
              <w:t>0.50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62.00</w:t>
            </w:r>
          </w:p>
        </w:tc>
        <w:tc>
          <w:tcPr>
            <w:tcW w:w="1134" w:type="dxa"/>
            <w:vAlign w:val="center"/>
          </w:tcPr>
          <w:p>
            <w:pPr>
              <w:pStyle w:val="22"/>
            </w:pPr>
            <w:r>
              <w:t>其他服务</w:t>
            </w:r>
          </w:p>
        </w:tc>
        <w:tc>
          <w:tcPr>
            <w:tcW w:w="1134" w:type="dxa"/>
            <w:vAlign w:val="center"/>
          </w:tcPr>
          <w:p>
            <w:pPr>
              <w:pStyle w:val="22"/>
            </w:pPr>
            <w:r>
              <w:t>C99000000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0.84</w:t>
            </w:r>
          </w:p>
        </w:tc>
        <w:tc>
          <w:tcPr>
            <w:tcW w:w="964" w:type="dxa"/>
            <w:vAlign w:val="center"/>
          </w:tcPr>
          <w:p>
            <w:pPr>
              <w:pStyle w:val="21"/>
            </w:pPr>
            <w:r>
              <w:t>0.84</w:t>
            </w:r>
          </w:p>
        </w:tc>
        <w:tc>
          <w:tcPr>
            <w:tcW w:w="964" w:type="dxa"/>
            <w:vAlign w:val="center"/>
          </w:tcPr>
          <w:p>
            <w:pPr>
              <w:pStyle w:val="21"/>
            </w:pPr>
            <w:r>
              <w:t>0.84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0.84</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Theme="minorEastAsia"/>
          <w:color w:val="000000"/>
          <w:sz w:val="28"/>
          <w:lang w:eastAsia="zh-CN"/>
        </w:rPr>
      </w:pPr>
      <w:r>
        <w:rPr>
          <w:rFonts w:eastAsia="方正仿宋_GBK"/>
          <w:color w:val="000000"/>
          <w:sz w:val="28"/>
        </w:rPr>
        <w:t>霸州市康仙庄乡康仙庄中心小学上年末固定资产金额为</w:t>
      </w:r>
      <w:r>
        <w:rPr>
          <w:rFonts w:hint="eastAsia" w:eastAsiaTheme="minorEastAsia"/>
          <w:color w:val="000000"/>
          <w:sz w:val="28"/>
          <w:lang w:eastAsia="zh-CN"/>
        </w:rPr>
        <w:t>894.44</w:t>
      </w:r>
      <w:r>
        <w:rPr>
          <w:rFonts w:eastAsia="方正仿宋_GBK"/>
          <w:color w:val="000000"/>
          <w:sz w:val="28"/>
        </w:rPr>
        <w:t>万元（详见下表）。本年度拟购置固定资产总额为</w:t>
      </w:r>
      <w:r>
        <w:rPr>
          <w:rFonts w:hint="eastAsia" w:eastAsiaTheme="minorEastAsia"/>
          <w:color w:val="000000"/>
          <w:sz w:val="28"/>
          <w:lang w:eastAsia="zh-CN"/>
        </w:rPr>
        <w:t>7.31</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501530霸州市康仙庄乡康仙庄中心小学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资产总额</w:t>
            </w:r>
          </w:p>
        </w:tc>
        <w:tc>
          <w:tcPr>
            <w:tcW w:w="2835" w:type="dxa"/>
            <w:vAlign w:val="center"/>
          </w:tcPr>
          <w:p>
            <w:pPr>
              <w:pStyle w:val="20"/>
              <w:rPr>
                <w:b w:val="0"/>
              </w:rPr>
            </w:pPr>
            <w:r>
              <w:rPr>
                <w:rFonts w:hint="eastAsia"/>
                <w:b w:val="0"/>
              </w:rPr>
              <w:t>——</w:t>
            </w:r>
          </w:p>
        </w:tc>
        <w:tc>
          <w:tcPr>
            <w:tcW w:w="2835" w:type="dxa"/>
            <w:vAlign w:val="center"/>
          </w:tcPr>
          <w:p>
            <w:pPr>
              <w:pStyle w:val="20"/>
              <w:rPr>
                <w:b w:val="0"/>
                <w:lang w:eastAsia="zh-CN"/>
              </w:rPr>
            </w:pPr>
            <w:r>
              <w:rPr>
                <w:rFonts w:hint="eastAsia"/>
                <w:b w:val="0"/>
              </w:rPr>
              <w:t>8</w:t>
            </w:r>
            <w:r>
              <w:rPr>
                <w:rFonts w:hint="eastAsia"/>
                <w:b w:val="0"/>
                <w:lang w:eastAsia="zh-CN"/>
              </w:rPr>
              <w:t>94.44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1、房屋（平方米）</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 xml:space="preserve">   其中：办公用房（平方米）</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2、车辆（台、辆）</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3、单价在20万元以上的设备</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4、其他固定资产</w:t>
            </w:r>
          </w:p>
        </w:tc>
        <w:tc>
          <w:tcPr>
            <w:tcW w:w="2835" w:type="dxa"/>
            <w:vAlign w:val="center"/>
          </w:tcPr>
          <w:p>
            <w:pPr>
              <w:pStyle w:val="20"/>
              <w:rPr>
                <w:rFonts w:asciiTheme="minorHAnsi" w:hAnsiTheme="minorHAnsi"/>
                <w:b w:val="0"/>
              </w:rPr>
            </w:pPr>
            <w:r>
              <w:rPr>
                <w:rFonts w:asciiTheme="minorHAnsi" w:hAnsiTheme="minorHAnsi"/>
                <w:b w:val="0"/>
              </w:rPr>
              <w:t>49797</w:t>
            </w:r>
          </w:p>
        </w:tc>
        <w:tc>
          <w:tcPr>
            <w:tcW w:w="2835" w:type="dxa"/>
            <w:vAlign w:val="center"/>
          </w:tcPr>
          <w:p>
            <w:pPr>
              <w:pStyle w:val="20"/>
              <w:rPr>
                <w:b w:val="0"/>
                <w:lang w:eastAsia="zh-CN"/>
              </w:rPr>
            </w:pPr>
            <w:r>
              <w:rPr>
                <w:rFonts w:hint="eastAsia"/>
                <w:b w:val="0"/>
                <w:lang w:eastAsia="zh-CN"/>
              </w:rPr>
              <w:t>894.44</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rPr>
            <w:lang w:val="zh-CN" w:eastAsia="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rPr>
            <w:lang w:val="zh-CN" w:eastAsia="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6d9507bd-d1ac-45a2-a9a0-95e9ae9b1d73"/>
  </w:docVars>
  <w:rsids>
    <w:rsidRoot w:val="004A1168"/>
    <w:rsid w:val="00012A57"/>
    <w:rsid w:val="000B7353"/>
    <w:rsid w:val="00130CC7"/>
    <w:rsid w:val="00136014"/>
    <w:rsid w:val="001502D0"/>
    <w:rsid w:val="001753C6"/>
    <w:rsid w:val="001F67F8"/>
    <w:rsid w:val="00250845"/>
    <w:rsid w:val="00297024"/>
    <w:rsid w:val="002F010E"/>
    <w:rsid w:val="003A5231"/>
    <w:rsid w:val="003A6148"/>
    <w:rsid w:val="003D654A"/>
    <w:rsid w:val="003E637C"/>
    <w:rsid w:val="00464BFB"/>
    <w:rsid w:val="004A1168"/>
    <w:rsid w:val="004E66B5"/>
    <w:rsid w:val="00557F40"/>
    <w:rsid w:val="005615D5"/>
    <w:rsid w:val="005B7AFC"/>
    <w:rsid w:val="005F1961"/>
    <w:rsid w:val="00657C90"/>
    <w:rsid w:val="006D6C4D"/>
    <w:rsid w:val="006F70C6"/>
    <w:rsid w:val="008D02C8"/>
    <w:rsid w:val="009573B3"/>
    <w:rsid w:val="00972810"/>
    <w:rsid w:val="00991EB1"/>
    <w:rsid w:val="009B55A2"/>
    <w:rsid w:val="00A50574"/>
    <w:rsid w:val="00A677E7"/>
    <w:rsid w:val="00A80758"/>
    <w:rsid w:val="00A9064A"/>
    <w:rsid w:val="00A915A7"/>
    <w:rsid w:val="00AA1FB3"/>
    <w:rsid w:val="00AD578B"/>
    <w:rsid w:val="00B6757F"/>
    <w:rsid w:val="00B67ADD"/>
    <w:rsid w:val="00BB35A7"/>
    <w:rsid w:val="00C57197"/>
    <w:rsid w:val="00C672B5"/>
    <w:rsid w:val="00CC7E62"/>
    <w:rsid w:val="00D513F4"/>
    <w:rsid w:val="00D64AD2"/>
    <w:rsid w:val="00D93167"/>
    <w:rsid w:val="00D9444E"/>
    <w:rsid w:val="00DC7304"/>
    <w:rsid w:val="00E20116"/>
    <w:rsid w:val="00E3061C"/>
    <w:rsid w:val="00E41D67"/>
    <w:rsid w:val="00E67DC0"/>
    <w:rsid w:val="00ED49B3"/>
    <w:rsid w:val="00EF51BF"/>
    <w:rsid w:val="00FB4C62"/>
    <w:rsid w:val="00FC209C"/>
    <w:rsid w:val="00FF1A65"/>
    <w:rsid w:val="432E7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uiPriority w:val="99"/>
    <w:rPr>
      <w:sz w:val="18"/>
      <w:szCs w:val="18"/>
    </w:rPr>
  </w:style>
  <w:style w:type="character" w:customStyle="1" w:styleId="14">
    <w:name w:val="页脚 Char"/>
    <w:basedOn w:val="12"/>
    <w:link w:val="5"/>
    <w:uiPriority w:val="99"/>
    <w:rPr>
      <w:sz w:val="18"/>
      <w:szCs w:val="18"/>
    </w:rPr>
  </w:style>
  <w:style w:type="character" w:customStyle="1" w:styleId="15">
    <w:name w:val="标题 1 Char"/>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27</Pages>
  <Words>6416</Words>
  <Characters>7681</Characters>
  <Lines>74</Lines>
  <Paragraphs>20</Paragraphs>
  <TotalTime>200</TotalTime>
  <ScaleCrop>false</ScaleCrop>
  <LinksUpToDate>false</LinksUpToDate>
  <CharactersWithSpaces>7855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2023-02-28T09:40:38Z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DF6F339D74454CBCB562FB1C96B9E913</vt:lpwstr>
  </property>
</Properties>
</file>